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租赁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宋体"/>
          <w:sz w:val="28"/>
          <w:szCs w:val="28"/>
          <w:lang w:eastAsia="zh-CN"/>
        </w:rPr>
      </w:pP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出租</w:t>
      </w:r>
      <w:r>
        <w:rPr>
          <w:rFonts w:hint="eastAsia" w:ascii="Times New Roman" w:hAnsi="Times New Roman" w:eastAsia="仿宋" w:cs="宋体"/>
          <w:sz w:val="28"/>
          <w:szCs w:val="28"/>
        </w:rPr>
        <w:t>方：惠州市下埔滨江公园管理所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Times New Roman" w:hAnsi="Times New Roman" w:eastAsia="仿宋" w:cs="宋体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下称甲方</w:t>
      </w:r>
      <w:r>
        <w:rPr>
          <w:rFonts w:hint="eastAsia" w:ascii="Times New Roman" w:hAnsi="Times New Roman" w:eastAsia="仿宋" w:cs="宋体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宋体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承包</w:t>
      </w:r>
      <w:r>
        <w:rPr>
          <w:rFonts w:hint="eastAsia" w:ascii="Times New Roman" w:hAnsi="Times New Roman" w:eastAsia="仿宋" w:cs="宋体"/>
          <w:sz w:val="28"/>
          <w:szCs w:val="28"/>
        </w:rPr>
        <w:t>方：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u w:val="single"/>
          <w:lang w:eastAsia="zh-CN"/>
        </w:rPr>
        <w:t>　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u w:val="single"/>
          <w:lang w:eastAsia="zh-CN"/>
        </w:rPr>
        <w:t>　　　　　　　　　　　　　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宋体"/>
          <w:color w:val="0000FF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宋体"/>
          <w:sz w:val="28"/>
          <w:szCs w:val="28"/>
          <w:u w:val="none"/>
          <w:lang w:val="en-US" w:eastAsia="zh-CN"/>
        </w:rPr>
        <w:t>（下称乙方）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Times New Roman" w:hAnsi="Times New Roman" w:eastAsia="仿宋" w:cs="宋体"/>
          <w:sz w:val="28"/>
          <w:szCs w:val="28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根据《中华人民共和国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民法典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》的相关规定，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甲方、乙方经过充分协商，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就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场地与设备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租赁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的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相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关事宜订立本合同。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sz w:val="28"/>
          <w:szCs w:val="28"/>
        </w:rPr>
      </w:pPr>
      <w:r>
        <w:rPr>
          <w:rFonts w:hint="eastAsia" w:ascii="Times New Roman" w:hAnsi="Times New Roman" w:eastAsia="仿宋" w:cs="宋体"/>
          <w:sz w:val="28"/>
          <w:szCs w:val="28"/>
        </w:rPr>
        <w:t>第一条 为进一步提升下埔滨江公园的整体形象，改善公园环境和设施，丰富市民、游客的娱乐和休闲生活，经公开</w:t>
      </w:r>
      <w:r>
        <w:rPr>
          <w:rFonts w:hint="eastAsia" w:ascii="Times New Roman" w:hAnsi="Times New Roman" w:eastAsia="仿宋" w:cs="宋体"/>
          <w:sz w:val="28"/>
          <w:szCs w:val="28"/>
          <w:lang w:eastAsia="zh-CN"/>
        </w:rPr>
        <w:t>招租</w:t>
      </w:r>
      <w:r>
        <w:rPr>
          <w:rFonts w:hint="eastAsia" w:ascii="Times New Roman" w:hAnsi="Times New Roman" w:eastAsia="仿宋" w:cs="宋体"/>
          <w:sz w:val="28"/>
          <w:szCs w:val="28"/>
        </w:rPr>
        <w:t>确定乙方为下埔滨江公园游乐场经营权中标单位。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" w:cs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宋体"/>
          <w:sz w:val="28"/>
          <w:szCs w:val="28"/>
        </w:rPr>
        <w:t>第二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条</w:t>
      </w:r>
      <w:r>
        <w:rPr>
          <w:rFonts w:hint="eastAsia" w:ascii="Times New Roman" w:hAnsi="Times New Roman" w:eastAsia="仿宋" w:cs="宋体"/>
          <w:sz w:val="28"/>
          <w:szCs w:val="28"/>
        </w:rPr>
        <w:t xml:space="preserve"> 场地范围</w:t>
      </w:r>
      <w:r>
        <w:rPr>
          <w:rFonts w:hint="eastAsia" w:ascii="Times New Roman" w:hAnsi="Times New Roman" w:eastAsia="仿宋" w:cs="宋体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设备设施、用途与产权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sz w:val="28"/>
          <w:szCs w:val="28"/>
        </w:rPr>
      </w:pP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1、场地：</w:t>
      </w:r>
      <w:r>
        <w:rPr>
          <w:rFonts w:hint="eastAsia" w:ascii="Times New Roman" w:hAnsi="Times New Roman" w:eastAsia="仿宋" w:cs="宋体"/>
          <w:sz w:val="28"/>
          <w:szCs w:val="28"/>
        </w:rPr>
        <w:t>游乐场经营范围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四至边界</w:t>
      </w:r>
      <w:r>
        <w:rPr>
          <w:rFonts w:hint="eastAsia" w:ascii="Times New Roman" w:hAnsi="Times New Roman" w:eastAsia="仿宋" w:cs="宋体"/>
          <w:sz w:val="28"/>
          <w:szCs w:val="28"/>
        </w:rPr>
        <w:t>详见附件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" w:cs="宋体"/>
          <w:sz w:val="28"/>
          <w:szCs w:val="28"/>
        </w:rPr>
        <w:t>《</w:t>
      </w:r>
      <w:r>
        <w:rPr>
          <w:rFonts w:hint="eastAsia" w:ascii="Times New Roman" w:hAnsi="Times New Roman" w:eastAsia="仿宋" w:cs="宋体"/>
          <w:sz w:val="28"/>
          <w:szCs w:val="28"/>
          <w:lang w:eastAsia="zh-CN"/>
        </w:rPr>
        <w:t>滨江公园</w:t>
      </w:r>
      <w:r>
        <w:rPr>
          <w:rFonts w:hint="eastAsia" w:ascii="Times New Roman" w:hAnsi="Times New Roman" w:eastAsia="仿宋" w:cs="宋体"/>
          <w:sz w:val="28"/>
          <w:szCs w:val="28"/>
        </w:rPr>
        <w:t>游乐场</w:t>
      </w:r>
      <w:r>
        <w:rPr>
          <w:rFonts w:hint="eastAsia" w:ascii="Times New Roman" w:hAnsi="Times New Roman" w:eastAsia="仿宋" w:cs="宋体"/>
          <w:sz w:val="28"/>
          <w:szCs w:val="28"/>
          <w:lang w:eastAsia="zh-CN"/>
        </w:rPr>
        <w:t>示意</w:t>
      </w:r>
      <w:r>
        <w:rPr>
          <w:rFonts w:hint="eastAsia" w:ascii="Times New Roman" w:hAnsi="Times New Roman" w:eastAsia="仿宋" w:cs="宋体"/>
          <w:sz w:val="28"/>
          <w:szCs w:val="28"/>
        </w:rPr>
        <w:t>图》</w:t>
      </w:r>
      <w:r>
        <w:rPr>
          <w:rFonts w:hint="eastAsia" w:ascii="Times New Roman" w:hAnsi="Times New Roman" w:eastAsia="仿宋" w:cs="宋体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面积合计约6000㎡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2、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设备设施共16项：⑴必检设备设施：经检验合格的自旋滑车、海盗船、飓风飞椅（下次检验日期2024年12月31日），到期年检；旋转迪士高、自控飞机、碰碰车（（下次检验日期2024年12月21日），到期年检；太空漫步（下次检验日期2024年08月04日），到期年检。</w:t>
      </w:r>
      <w:r>
        <w:rPr>
          <w:rFonts w:hint="eastAsia" w:ascii="Times New Roman" w:hAnsi="Times New Roman" w:eastAsia="仿宋" w:cs="仿宋"/>
          <w:color w:val="auto"/>
          <w:sz w:val="28"/>
          <w:szCs w:val="28"/>
          <w:lang w:val="en-US" w:eastAsia="zh-CN"/>
        </w:rPr>
        <w:t>⑵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免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检设备设施：豪华转马、激战鲨鱼岛、儿童爬山车、欢乐飞船、海豹戏水、小蜜蜂、千禧火车、喷球车、袋鼠跳，按规定定期维护保养（具体情况表详见附件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3、租赁用途与产权：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⑴</w:t>
      </w:r>
      <w:r>
        <w:rPr>
          <w:rFonts w:hint="eastAsia" w:ascii="Times New Roman" w:hAnsi="Times New Roman" w:eastAsia="仿宋" w:cs="宋体"/>
          <w:sz w:val="28"/>
          <w:szCs w:val="28"/>
        </w:rPr>
        <w:t>经营项目为游乐场（含经营包装定型食品饮料）</w:t>
      </w:r>
      <w:r>
        <w:rPr>
          <w:rFonts w:hint="eastAsia" w:ascii="Times New Roman" w:hAnsi="Times New Roman" w:eastAsia="仿宋" w:cs="宋体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" w:cs="宋体"/>
          <w:sz w:val="28"/>
          <w:szCs w:val="28"/>
        </w:rPr>
        <w:t>乙方不得超出合同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约</w:t>
      </w:r>
      <w:r>
        <w:rPr>
          <w:rFonts w:hint="eastAsia" w:ascii="Times New Roman" w:hAnsi="Times New Roman" w:eastAsia="仿宋" w:cs="宋体"/>
          <w:sz w:val="28"/>
          <w:szCs w:val="28"/>
        </w:rPr>
        <w:t>定的经营项目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开展项目外经营；</w:t>
      </w:r>
      <w:r>
        <w:rPr>
          <w:rFonts w:hint="eastAsia" w:ascii="Times New Roman" w:hAnsi="Times New Roman" w:eastAsia="仿宋" w:cs="仿宋"/>
          <w:color w:val="auto"/>
          <w:sz w:val="28"/>
          <w:szCs w:val="28"/>
          <w:lang w:val="en-US" w:eastAsia="zh-CN"/>
        </w:rPr>
        <w:t>⑵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前述场地、设备设施（含附着于场地的水、电）、与设备设施相关资产的所有权均归属于甲方所有（下称标的物）；</w:t>
      </w:r>
      <w:r>
        <w:rPr>
          <w:rFonts w:hint="eastAsia" w:ascii="Times New Roman" w:hAnsi="Times New Roman" w:eastAsia="仿宋" w:cs="仿宋"/>
          <w:color w:val="auto"/>
          <w:sz w:val="28"/>
          <w:szCs w:val="28"/>
          <w:lang w:val="en-US" w:eastAsia="zh-CN"/>
        </w:rPr>
        <w:t>⑶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甲方按合同订立日的现状将标的物交付给乙方租赁经营。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" w:cs="宋体"/>
          <w:sz w:val="28"/>
          <w:szCs w:val="28"/>
          <w:lang w:val="en-US"/>
        </w:rPr>
      </w:pPr>
      <w:r>
        <w:rPr>
          <w:rFonts w:hint="eastAsia" w:ascii="Times New Roman" w:hAnsi="Times New Roman" w:eastAsia="仿宋" w:cs="宋体"/>
          <w:sz w:val="28"/>
          <w:szCs w:val="28"/>
        </w:rPr>
        <w:t>第三条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 w:cs="宋体"/>
          <w:sz w:val="28"/>
          <w:szCs w:val="28"/>
        </w:rPr>
        <w:t>合同期限</w:t>
      </w:r>
      <w:r>
        <w:rPr>
          <w:rFonts w:hint="eastAsia" w:ascii="Times New Roman" w:hAnsi="Times New Roman" w:eastAsia="仿宋" w:cs="宋体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履约保证金、安全生产保证金、标的物交付与收回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sz w:val="28"/>
          <w:szCs w:val="28"/>
        </w:rPr>
      </w:pP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1、</w:t>
      </w:r>
      <w:r>
        <w:rPr>
          <w:rFonts w:hint="eastAsia" w:ascii="Times New Roman" w:hAnsi="Times New Roman" w:eastAsia="仿宋" w:cs="宋体"/>
          <w:sz w:val="28"/>
          <w:szCs w:val="28"/>
        </w:rPr>
        <w:t>合同期限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壹年</w:t>
      </w:r>
      <w:r>
        <w:rPr>
          <w:rFonts w:hint="eastAsia" w:ascii="Times New Roman" w:hAnsi="Times New Roman" w:eastAsia="仿宋" w:cs="宋体"/>
          <w:sz w:val="28"/>
          <w:szCs w:val="28"/>
        </w:rPr>
        <w:t>，从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u w:val="none"/>
          <w:lang w:val="en-US" w:eastAsia="zh-CN"/>
        </w:rPr>
        <w:t>2024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u w:val="single"/>
          <w:lang w:val="en-US" w:eastAsia="zh-CN"/>
        </w:rPr>
        <w:t>　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仿宋" w:cs="宋体"/>
          <w:sz w:val="28"/>
          <w:szCs w:val="28"/>
          <w:u w:val="single"/>
          <w:lang w:val="en-US" w:eastAsia="zh-CN"/>
        </w:rPr>
        <w:t>　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起</w:t>
      </w:r>
      <w:r>
        <w:rPr>
          <w:rFonts w:hint="eastAsia" w:ascii="Times New Roman" w:hAnsi="Times New Roman" w:eastAsia="仿宋" w:cs="宋体"/>
          <w:sz w:val="28"/>
          <w:szCs w:val="28"/>
        </w:rPr>
        <w:t>至</w:t>
      </w:r>
      <w:r>
        <w:rPr>
          <w:rFonts w:hint="eastAsia" w:ascii="Times New Roman" w:hAnsi="Times New Roman" w:eastAsia="仿宋" w:cs="宋体"/>
          <w:sz w:val="28"/>
          <w:szCs w:val="28"/>
          <w:u w:val="single"/>
          <w:lang w:val="en-US" w:eastAsia="zh-CN"/>
        </w:rPr>
        <w:t xml:space="preserve">　　 </w:t>
      </w:r>
      <w:r>
        <w:rPr>
          <w:rFonts w:hint="eastAsia" w:ascii="Times New Roman" w:hAnsi="Times New Roman" w:eastAsia="仿宋" w:cs="宋体"/>
          <w:sz w:val="28"/>
          <w:szCs w:val="28"/>
        </w:rPr>
        <w:t>年</w:t>
      </w:r>
      <w:r>
        <w:rPr>
          <w:rFonts w:hint="eastAsia" w:ascii="Times New Roman" w:hAnsi="Times New Roman" w:eastAsia="仿宋" w:cs="宋体"/>
          <w:sz w:val="28"/>
          <w:szCs w:val="28"/>
          <w:u w:val="single"/>
          <w:lang w:val="en-US" w:eastAsia="zh-CN"/>
        </w:rPr>
        <w:t>　</w:t>
      </w:r>
      <w:r>
        <w:rPr>
          <w:rFonts w:hint="eastAsia" w:ascii="Times New Roman" w:hAnsi="Times New Roman" w:eastAsia="仿宋" w:cs="宋体"/>
          <w:sz w:val="28"/>
          <w:szCs w:val="28"/>
        </w:rPr>
        <w:t>月</w:t>
      </w:r>
      <w:r>
        <w:rPr>
          <w:rFonts w:hint="eastAsia" w:ascii="Times New Roman" w:hAnsi="Times New Roman" w:eastAsia="仿宋" w:cs="宋体"/>
          <w:sz w:val="28"/>
          <w:szCs w:val="28"/>
          <w:u w:val="single"/>
          <w:lang w:val="en-US" w:eastAsia="zh-CN"/>
        </w:rPr>
        <w:t>　</w:t>
      </w:r>
      <w:r>
        <w:rPr>
          <w:rFonts w:hint="eastAsia" w:ascii="Times New Roman" w:hAnsi="Times New Roman" w:eastAsia="仿宋" w:cs="宋体"/>
          <w:sz w:val="28"/>
          <w:szCs w:val="28"/>
        </w:rPr>
        <w:t>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2、合同订立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之日、乙方向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u w:val="none"/>
          <w:lang w:val="en-US" w:eastAsia="zh-CN"/>
        </w:rPr>
        <w:t>甲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方支付履约保证金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u w:val="single"/>
          <w:lang w:val="en-US" w:eastAsia="zh-CN"/>
        </w:rPr>
        <w:t>　　　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u w:val="none"/>
          <w:lang w:val="en-US" w:eastAsia="zh-CN"/>
        </w:rPr>
        <w:t>元；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游乐场是特种设备经营权招租，为保障公共安全，合同订立之日、乙方向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u w:val="none"/>
          <w:lang w:val="en-US" w:eastAsia="zh-CN"/>
        </w:rPr>
        <w:t>甲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方支付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u w:val="none"/>
          <w:lang w:val="en-US" w:eastAsia="zh-CN"/>
        </w:rPr>
        <w:t>安全生产保证金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u w:val="single"/>
          <w:lang w:val="en-US" w:eastAsia="zh-CN"/>
        </w:rPr>
        <w:t>　　　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u w:val="none"/>
          <w:lang w:val="en-US" w:eastAsia="zh-CN"/>
        </w:rPr>
        <w:t>元，甲方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按约定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u w:val="none"/>
          <w:lang w:val="en-US" w:eastAsia="zh-CN"/>
        </w:rPr>
        <w:t>将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标的物交付给乙方运营。合同订立90日内，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乙方将年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u w:val="none"/>
          <w:lang w:val="en-US" w:eastAsia="zh-CN"/>
        </w:rPr>
        <w:t>租金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u w:val="single"/>
          <w:lang w:val="en-US" w:eastAsia="zh-CN"/>
        </w:rPr>
        <w:t>　　　　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u w:val="none"/>
          <w:lang w:val="en-US" w:eastAsia="zh-CN"/>
        </w:rPr>
        <w:t>元一次性支付给甲方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3、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合同期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限届满之日起2日内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乙方将标的物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无条件完好交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还给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甲方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甲方对标的物查验（标的物须在国检、省检、定期维保的有效期内）无异议后3日内，将安全生产保证金不计息退还给乙方。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合同期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限届满之日起90日内，甲方将履约保证金不计息退还给乙方。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" w:cs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4、乙方在租赁期间新添附、新更换的设备设施及动产，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均无条件归属甲方所有（但办公室用品除外）。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sz w:val="28"/>
          <w:szCs w:val="28"/>
        </w:rPr>
      </w:pPr>
      <w:r>
        <w:rPr>
          <w:rFonts w:hint="eastAsia" w:ascii="Times New Roman" w:hAnsi="Times New Roman" w:eastAsia="仿宋" w:cs="宋体"/>
          <w:sz w:val="28"/>
          <w:szCs w:val="28"/>
        </w:rPr>
        <w:t>第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四条</w:t>
      </w:r>
      <w:r>
        <w:rPr>
          <w:rFonts w:hint="eastAsia" w:ascii="Times New Roman" w:hAnsi="Times New Roman" w:eastAsia="仿宋" w:cs="宋体"/>
          <w:sz w:val="28"/>
          <w:szCs w:val="28"/>
        </w:rPr>
        <w:t xml:space="preserve"> 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租金、</w:t>
      </w:r>
      <w:r>
        <w:rPr>
          <w:rFonts w:hint="eastAsia" w:ascii="Times New Roman" w:hAnsi="Times New Roman" w:eastAsia="仿宋" w:cs="宋体"/>
          <w:sz w:val="28"/>
          <w:szCs w:val="28"/>
        </w:rPr>
        <w:t>水电费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的支付</w:t>
      </w:r>
      <w:r>
        <w:rPr>
          <w:rFonts w:hint="eastAsia" w:ascii="Times New Roman" w:hAnsi="Times New Roman" w:eastAsia="仿宋" w:cs="宋体"/>
          <w:sz w:val="28"/>
          <w:szCs w:val="28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1、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租金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仿宋" w:cs="仿宋"/>
          <w:color w:val="auto"/>
          <w:sz w:val="28"/>
          <w:szCs w:val="28"/>
          <w:lang w:eastAsia="zh-CN"/>
        </w:rPr>
        <w:t>⑴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租金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为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含税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价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甲方承担出具发票所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产生的税款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；⑵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该账户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开户行：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惠州工行滨江支行，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户名：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惠州市下埔滨江公园管理所，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账号：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2008031809000067066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为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甲方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收取合同项下款项的指定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账户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color w:val="auto"/>
          <w:sz w:val="28"/>
          <w:szCs w:val="28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水电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费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甲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方向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乙方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收取水电费，</w:t>
      </w:r>
      <w:r>
        <w:rPr>
          <w:rFonts w:hint="eastAsia" w:ascii="Times New Roman" w:hAnsi="Times New Roman" w:eastAsia="仿宋" w:cs="仿宋"/>
          <w:color w:val="auto"/>
          <w:sz w:val="28"/>
          <w:szCs w:val="28"/>
          <w:lang w:eastAsia="zh-CN"/>
        </w:rPr>
        <w:t>电费计算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按惠州市供电局商业电价加合理变损分摊；水费计算按惠州市自来水公司单价加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租赁场地面积公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摊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。双方同意以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甲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方现有的水表、电表计量器具的计量数据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作为计费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依据，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乙方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上月发生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的水电费应在次月6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日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前缴交。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" w:cs="宋体"/>
          <w:color w:val="auto"/>
          <w:sz w:val="28"/>
          <w:szCs w:val="28"/>
          <w:lang w:val="en-US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第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五条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 xml:space="preserve"> 甲方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的权利义务与责任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color w:val="auto"/>
          <w:sz w:val="28"/>
          <w:szCs w:val="28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为乙方提供水源、电源接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驳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color w:val="auto"/>
          <w:sz w:val="28"/>
          <w:szCs w:val="28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按国家有关规定和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《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惠州市下埔滨江公园管理所经营单位行为规范》（附件1，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下称《行为规范》）的约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定对乙方的经营、安全、绿化、卫生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工作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进行监督检查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协助乙方做好治安工作，甲方有权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检查乙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方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是否遵守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《特种设备安全监察条例》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有权要求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乙方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停止安检不合格（含过期没有安检、没有定期维保）设备设施的运营、并有权向政府职能部门报告，待该设备设施安检、定期维保验收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合格后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乙方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才能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恢复该设备设施的运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color w:val="auto"/>
          <w:sz w:val="28"/>
          <w:szCs w:val="28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3、甲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方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有权检查乙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方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是否履行对标的物的维修维护保养、零件更换义务，所产生的费用由乙方承担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 xml:space="preserve">    4、对乙方被群众投诉的问题，甲方应调查和收集证据材料；乙方应在接到投诉后的3日内，将投诉情况的书面说明与辩解意见提交给甲方，由甲方和政府职能部门依法处理。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第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六条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 xml:space="preserve"> 乙方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的权利义务与责任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1、自行自费办理游乐场经营所需的《特种设备使用登记证》及有关合法合规经营的全部证照，具体以政府职能部门要求为准。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color w:val="auto"/>
          <w:sz w:val="28"/>
          <w:szCs w:val="28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接受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政府职能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部门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和甲方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的检查监督。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自觉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遵守法律法规及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《行为规范》，做到守法合规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经营。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color w:val="auto"/>
          <w:sz w:val="28"/>
          <w:szCs w:val="28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3、经甲方书面同意和政府职能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部门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的书面许可，乙方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可对游乐项目和布局进行重新规划调整。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color w:val="auto"/>
          <w:sz w:val="28"/>
          <w:szCs w:val="28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4、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保证在合同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约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定范围内经营，不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得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增加其它商业性项目。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color w:val="auto"/>
          <w:sz w:val="28"/>
          <w:szCs w:val="28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5、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不得违法对外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排放噪音、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废气、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废水、废物，不得损害社会公共利益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负责经营范围的三包工作（秩序、卫生、绿化）。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color w:val="auto"/>
          <w:sz w:val="28"/>
          <w:szCs w:val="28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6、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游乐场经营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产生的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费用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由乙方承担（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包括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但不限于标的物的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检测、保养、维修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保养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更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8763000</wp:posOffset>
                </wp:positionV>
                <wp:extent cx="673100" cy="16510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 w:ascii="Arial" w:hAnsi="Arial" w:eastAsia="Arial"/>
                                <w:color w:val="000000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6pt;margin-top:690pt;height:13pt;width:53pt;mso-position-horizontal-relative:page;z-index:251660288;mso-width-relative:page;mso-height-relative:page;" filled="f" stroked="f" coordsize="21600,21600" o:gfxdata="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MYWe72QAAAA0BAAAPAAAAAAAAAAEAIAAAACIAAABkcnMvZG93bnJldi54bWxQ&#10;SwECFAAUAAAACACHTuJA0L78BL0BAABQAwAADgAAAAAAAAABACAAAAAoAQAAZHJzL2Uyb0RvYy54&#10;bWxQSwUGAAAAAAYABgBZAQAAVwUAAAAA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 w:ascii="Arial" w:hAnsi="Arial" w:eastAsia="Arial"/>
                          <w:color w:val="000000"/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换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产生的费用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，游乐场日常经营开支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产生的费用，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员工工资福利、社保、保险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的费用等）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7、承担标的物的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质量安全和游乐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场运营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安全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生产的约定义务和法定义务，履行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购买游乐设备设施保险和游客意外伤害保险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的义务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须将保单、缴费凭证复印件交给甲方备案，并在合同订立、乙方开展业务活动前办妥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、承担相应的保险费，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承担治安、安全、食品卫生、环境卫生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等日常服务与维护义务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。负责保管好游乐场的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标的物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8、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按《特种设备安全监察条例》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的法定要求独立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经营，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标的物按政府职能部门要求开展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质量技术监督检测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合格、取得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合格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检测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报告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后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标的物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方可投入运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营，并将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合格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检测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报告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提交给甲方备案。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9、若标的物运营造成人身损害和财产损失，乙方和保险公司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承担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因此产生的经济赔偿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责任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。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若因此造成甲方损失的，甲方有权向乙方追偿，乙方自愿赔偿甲方因此产生的经济损失。若乙方没有投保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游乐设备设施险和游客意外伤害险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的，甲方有权暂停乙方的运营，且造成的损失由乙方承担。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sz w:val="28"/>
          <w:szCs w:val="28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10、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诚信经营，热情待客，文明服务。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乙方应培训其聘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用</w:t>
      </w:r>
      <w:r>
        <w:rPr>
          <w:rFonts w:hint="eastAsia" w:ascii="Times New Roman" w:hAnsi="Times New Roman" w:eastAsia="仿宋" w:cs="宋体"/>
          <w:sz w:val="28"/>
          <w:szCs w:val="28"/>
        </w:rPr>
        <w:t>人员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遵守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《行为规范》，乙方应依法与其聘用人员订立劳动合同、缴交社保费</w:t>
      </w:r>
      <w:r>
        <w:rPr>
          <w:rFonts w:hint="eastAsia" w:ascii="Times New Roman" w:hAnsi="Times New Roman" w:eastAsia="仿宋" w:cs="宋体"/>
          <w:sz w:val="28"/>
          <w:szCs w:val="28"/>
        </w:rPr>
        <w:t>，做好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其聘用</w:t>
      </w:r>
      <w:r>
        <w:rPr>
          <w:rFonts w:hint="eastAsia" w:ascii="Times New Roman" w:hAnsi="Times New Roman" w:eastAsia="仿宋" w:cs="宋体"/>
          <w:sz w:val="28"/>
          <w:szCs w:val="28"/>
        </w:rPr>
        <w:t>人员的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安全生产培训和服务业务</w:t>
      </w:r>
      <w:r>
        <w:rPr>
          <w:rFonts w:hint="eastAsia" w:ascii="Times New Roman" w:hAnsi="Times New Roman" w:eastAsia="仿宋" w:cs="宋体"/>
          <w:sz w:val="28"/>
          <w:szCs w:val="28"/>
        </w:rPr>
        <w:t>培训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工作</w:t>
      </w:r>
      <w:r>
        <w:rPr>
          <w:rFonts w:hint="eastAsia" w:ascii="Times New Roman" w:hAnsi="Times New Roman" w:eastAsia="仿宋" w:cs="宋体"/>
          <w:sz w:val="28"/>
          <w:szCs w:val="28"/>
        </w:rPr>
        <w:t>。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其聘用</w:t>
      </w:r>
      <w:r>
        <w:rPr>
          <w:rFonts w:hint="eastAsia" w:ascii="Times New Roman" w:hAnsi="Times New Roman" w:eastAsia="仿宋" w:cs="宋体"/>
          <w:sz w:val="28"/>
          <w:szCs w:val="28"/>
        </w:rPr>
        <w:t>人员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须</w:t>
      </w:r>
      <w:r>
        <w:rPr>
          <w:rFonts w:hint="eastAsia" w:ascii="Times New Roman" w:hAnsi="Times New Roman" w:eastAsia="仿宋" w:cs="宋体"/>
          <w:sz w:val="28"/>
          <w:szCs w:val="28"/>
        </w:rPr>
        <w:t>统一着装，持证上岗。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sz w:val="28"/>
          <w:szCs w:val="28"/>
        </w:rPr>
      </w:pP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11、</w:t>
      </w:r>
      <w:r>
        <w:rPr>
          <w:rFonts w:hint="eastAsia" w:ascii="Times New Roman" w:hAnsi="Times New Roman" w:eastAsia="仿宋" w:cs="宋体"/>
          <w:sz w:val="28"/>
          <w:szCs w:val="28"/>
        </w:rPr>
        <w:t>未经甲方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书面</w:t>
      </w:r>
      <w:r>
        <w:rPr>
          <w:rFonts w:hint="eastAsia" w:ascii="Times New Roman" w:hAnsi="Times New Roman" w:eastAsia="仿宋" w:cs="宋体"/>
          <w:sz w:val="28"/>
          <w:szCs w:val="28"/>
        </w:rPr>
        <w:t>同意，乙方不得以任何形式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将本合同的权利义务</w:t>
      </w:r>
      <w:r>
        <w:rPr>
          <w:rFonts w:hint="eastAsia" w:ascii="Times New Roman" w:hAnsi="Times New Roman" w:eastAsia="仿宋" w:cs="宋体"/>
          <w:sz w:val="28"/>
          <w:szCs w:val="28"/>
        </w:rPr>
        <w:t>转租、转让</w:t>
      </w:r>
      <w:r>
        <w:rPr>
          <w:rFonts w:hint="eastAsia" w:ascii="Times New Roman" w:hAnsi="Times New Roman" w:eastAsia="仿宋" w:cs="宋体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分包给第三人</w:t>
      </w:r>
      <w:r>
        <w:rPr>
          <w:rFonts w:hint="eastAsia" w:ascii="Times New Roman" w:hAnsi="Times New Roman" w:eastAsia="仿宋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sz w:val="28"/>
          <w:szCs w:val="28"/>
        </w:rPr>
      </w:pP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12、</w:t>
      </w:r>
      <w:r>
        <w:rPr>
          <w:rFonts w:hint="eastAsia" w:ascii="Times New Roman" w:hAnsi="Times New Roman" w:eastAsia="仿宋" w:cs="宋体"/>
          <w:sz w:val="28"/>
          <w:szCs w:val="28"/>
        </w:rPr>
        <w:t>自主经营，自负盈亏。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乙方在运营中形成</w:t>
      </w:r>
      <w:r>
        <w:rPr>
          <w:rFonts w:hint="eastAsia" w:ascii="Times New Roman" w:hAnsi="Times New Roman" w:eastAsia="仿宋" w:cs="宋体"/>
          <w:sz w:val="28"/>
          <w:szCs w:val="28"/>
        </w:rPr>
        <w:t>的债权债务、劳资、经营等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纠纷</w:t>
      </w:r>
      <w:r>
        <w:rPr>
          <w:rFonts w:hint="eastAsia" w:ascii="Times New Roman" w:hAnsi="Times New Roman" w:eastAsia="仿宋" w:cs="宋体"/>
          <w:sz w:val="28"/>
          <w:szCs w:val="28"/>
        </w:rPr>
        <w:t>由乙方自行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处理，后果由乙方承担</w:t>
      </w:r>
      <w:r>
        <w:rPr>
          <w:rFonts w:hint="eastAsia" w:ascii="Times New Roman" w:hAnsi="Times New Roman" w:eastAsia="仿宋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sz w:val="28"/>
          <w:szCs w:val="28"/>
        </w:rPr>
      </w:pP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13、</w:t>
      </w:r>
      <w:r>
        <w:rPr>
          <w:rFonts w:hint="eastAsia" w:ascii="Times New Roman" w:hAnsi="Times New Roman" w:eastAsia="仿宋" w:cs="宋体"/>
          <w:sz w:val="28"/>
          <w:szCs w:val="28"/>
        </w:rPr>
        <w:t>合同期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限届满</w:t>
      </w:r>
      <w:r>
        <w:rPr>
          <w:rFonts w:hint="eastAsia" w:ascii="Times New Roman" w:hAnsi="Times New Roman" w:eastAsia="仿宋" w:cs="宋体"/>
          <w:sz w:val="28"/>
          <w:szCs w:val="28"/>
        </w:rPr>
        <w:t>，乙方应保持完好交回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标的物</w:t>
      </w:r>
      <w:r>
        <w:rPr>
          <w:rFonts w:hint="eastAsia" w:ascii="Times New Roman" w:hAnsi="Times New Roman" w:eastAsia="仿宋" w:cs="宋体"/>
          <w:sz w:val="28"/>
          <w:szCs w:val="28"/>
        </w:rPr>
        <w:t>给甲方，一切安装在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标的物</w:t>
      </w:r>
      <w:r>
        <w:rPr>
          <w:rFonts w:hint="eastAsia" w:ascii="Times New Roman" w:hAnsi="Times New Roman" w:eastAsia="仿宋" w:cs="宋体"/>
          <w:sz w:val="28"/>
          <w:szCs w:val="28"/>
        </w:rPr>
        <w:t>的附属设施一律不得拆走</w:t>
      </w:r>
      <w:r>
        <w:rPr>
          <w:rFonts w:hint="eastAsia" w:ascii="Times New Roman" w:hAnsi="Times New Roman" w:eastAsia="仿宋" w:cs="宋体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归甲方所有</w:t>
      </w:r>
      <w:r>
        <w:rPr>
          <w:rFonts w:hint="eastAsia" w:ascii="Times New Roman" w:hAnsi="Times New Roman" w:eastAsia="仿宋" w:cs="宋体"/>
          <w:sz w:val="28"/>
          <w:szCs w:val="28"/>
        </w:rPr>
        <w:t>。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本合同</w:t>
      </w:r>
      <w:r>
        <w:rPr>
          <w:rFonts w:hint="eastAsia" w:ascii="Times New Roman" w:hAnsi="Times New Roman" w:eastAsia="仿宋" w:cs="宋体"/>
          <w:sz w:val="28"/>
          <w:szCs w:val="28"/>
        </w:rPr>
        <w:t>提前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解除或</w:t>
      </w:r>
      <w:r>
        <w:rPr>
          <w:rFonts w:hint="eastAsia" w:ascii="Times New Roman" w:hAnsi="Times New Roman" w:eastAsia="仿宋" w:cs="宋体"/>
          <w:sz w:val="28"/>
          <w:szCs w:val="28"/>
        </w:rPr>
        <w:t>终止的</w:t>
      </w:r>
      <w:r>
        <w:rPr>
          <w:rFonts w:hint="eastAsia" w:ascii="Times New Roman" w:hAnsi="Times New Roman" w:eastAsia="仿宋" w:cs="宋体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" w:cs="宋体"/>
          <w:sz w:val="28"/>
          <w:szCs w:val="28"/>
        </w:rPr>
        <w:t>按此条款执行。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5" w:firstLineChars="202"/>
        <w:textAlignment w:val="auto"/>
        <w:outlineLvl w:val="9"/>
        <w:rPr>
          <w:rFonts w:hint="eastAsia" w:ascii="Times New Roman" w:hAnsi="Times New Roman" w:eastAsia="仿宋" w:cs="宋体"/>
          <w:color w:val="auto"/>
          <w:sz w:val="28"/>
          <w:szCs w:val="28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第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七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条 合同的变更、解除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textAlignment w:val="auto"/>
        <w:outlineLvl w:val="9"/>
        <w:rPr>
          <w:rFonts w:hint="eastAsia" w:ascii="Times New Roman" w:hAnsi="Times New Roman" w:eastAsia="仿宋" w:cs="宋体"/>
          <w:color w:val="auto"/>
          <w:sz w:val="28"/>
          <w:szCs w:val="28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双方协商一致，可以变更、解除合同。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textAlignment w:val="auto"/>
        <w:outlineLvl w:val="9"/>
        <w:rPr>
          <w:rFonts w:hint="eastAsia" w:ascii="Times New Roman" w:hAnsi="Times New Roman" w:eastAsia="仿宋" w:cs="宋体"/>
          <w:color w:val="auto"/>
          <w:sz w:val="28"/>
          <w:szCs w:val="28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有下列情形之一的，任何一方可以单方变更或解除合同：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⑴若政府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及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其职能部门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因重新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规划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须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收回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标的物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致使本合同无法履行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的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双方应无条件服从，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本合同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即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告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解除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、终止履行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甲方（含政府或其职能部门）与乙方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互不承担违约责任和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财产损失的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赔偿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（或补偿）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责任。乙方应在甲方通知的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期限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内交回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标的物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，甲方将履约保证金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和安全生产保证金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不计息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退还给乙方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逾期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交回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标的物，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履约保证金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归甲方所有。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textAlignment w:val="auto"/>
        <w:outlineLvl w:val="9"/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⑵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若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政府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及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其职能部门征收征用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标的物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，本合同即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告自行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解除、终止履行，租金按实际使用日期计算，乙方无条件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交回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标的物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标的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物补偿费归甲方所有，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甲方不计息退还履约保证金和安全生产保证金给乙方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Times New Roman" w:hAnsi="Times New Roman" w:eastAsia="仿宋" w:cs="宋体"/>
          <w:color w:val="auto"/>
          <w:sz w:val="28"/>
          <w:szCs w:val="28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 xml:space="preserve">    </w:t>
      </w:r>
      <w:r>
        <w:rPr>
          <w:rFonts w:hint="eastAsia" w:ascii="Times New Roman" w:hAnsi="Times New Roman" w:eastAsia="仿宋" w:cs="仿宋"/>
          <w:color w:val="auto"/>
          <w:sz w:val="28"/>
          <w:szCs w:val="28"/>
        </w:rPr>
        <w:t>⑶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因不可抗力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事件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造成甲方或乙方人身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财产损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失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，双方互不承担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违约责任和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赔偿责任。因不可抗力事件致使本合同无法履行，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本合同即告解除、终止履行。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仿宋"/>
          <w:color w:val="auto"/>
          <w:sz w:val="28"/>
          <w:szCs w:val="28"/>
        </w:rPr>
        <w:t>⑷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乙方在经营过程中因安全生产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责任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事故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或发生人身损害、财产损害事故、或发生重大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治安事件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对甲方造成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重大负面影响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的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。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甲方有权解除本合同、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乙方无条件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交回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标的物。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sz w:val="28"/>
          <w:szCs w:val="28"/>
        </w:rPr>
      </w:pPr>
      <w:r>
        <w:rPr>
          <w:rFonts w:hint="eastAsia" w:ascii="Times New Roman" w:hAnsi="Times New Roman" w:eastAsia="仿宋" w:cs="宋体"/>
          <w:sz w:val="28"/>
          <w:szCs w:val="28"/>
        </w:rPr>
        <w:t>第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八条</w:t>
      </w:r>
      <w:r>
        <w:rPr>
          <w:rFonts w:hint="eastAsia" w:ascii="Times New Roman" w:hAnsi="Times New Roman" w:eastAsia="仿宋" w:cs="宋体"/>
          <w:sz w:val="28"/>
          <w:szCs w:val="28"/>
        </w:rPr>
        <w:t xml:space="preserve"> 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textAlignment w:val="auto"/>
        <w:outlineLvl w:val="9"/>
        <w:rPr>
          <w:rFonts w:hint="eastAsia" w:ascii="Times New Roman" w:hAnsi="Times New Roman" w:eastAsia="仿宋" w:cs="宋体"/>
          <w:color w:val="auto"/>
          <w:sz w:val="28"/>
          <w:szCs w:val="28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1、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若乙方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逾期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30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日以上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未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缴交租金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甲方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有权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解除合同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，收回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标的物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乙方仍须赔付相当于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6个月租金的停租待租损失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给甲方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。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甲方因乙方违约行为起诉至法院所产生的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费用（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包括但不限于律师费、案件受理费、财产保全费、担保费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等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）由乙方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承担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left"/>
        <w:textAlignment w:val="auto"/>
        <w:outlineLvl w:val="9"/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2、若乙方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逾期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缴交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水电费，乙方应向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甲方支付违约金[应付未付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水电费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×违约日数×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2%=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违约金]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。逾期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缴交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水电费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10日以上，甲方有权对乙方停水停电，乙方自行承担因此产生的损失。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left"/>
        <w:textAlignment w:val="auto"/>
        <w:outlineLvl w:val="9"/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3、若乙方超出合同约定的用途或经营范围开展业务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甲方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有权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解除合同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，收回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标的物，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乙方须赔付相当于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6个月租金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给甲方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。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甲方因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此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起诉至法院所产生的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费用（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包括但不限于律师费、案件受理费、财产保全费、担保费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等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）由乙方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承担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left"/>
        <w:textAlignment w:val="auto"/>
        <w:outlineLvl w:val="9"/>
        <w:rPr>
          <w:rFonts w:hint="eastAsia" w:ascii="Times New Roman" w:hAnsi="Times New Roman" w:eastAsia="仿宋" w:cs="宋体"/>
          <w:color w:val="auto"/>
          <w:sz w:val="28"/>
          <w:szCs w:val="28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4、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若乙方书面单方解除本合同，乙方须支付相当于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6个月租金的违约金给甲方。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left"/>
        <w:textAlignment w:val="auto"/>
        <w:outlineLvl w:val="9"/>
        <w:rPr>
          <w:rFonts w:hint="eastAsia" w:ascii="Times New Roman" w:hAnsi="Times New Roman" w:eastAsia="仿宋" w:cs="宋体"/>
          <w:color w:val="auto"/>
          <w:sz w:val="28"/>
          <w:szCs w:val="28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5、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若乙方将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标的物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转租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转包、拆解分包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给第三人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经营（甲方书面同意除外）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，甲方有权解除合同，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收回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标的物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履约保证金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和安全生产保证金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归甲方所有。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textAlignment w:val="auto"/>
        <w:outlineLvl w:val="9"/>
        <w:rPr>
          <w:rFonts w:hint="eastAsia" w:ascii="Times New Roman" w:hAnsi="Times New Roman" w:eastAsia="仿宋" w:cs="宋体"/>
          <w:color w:val="auto"/>
          <w:sz w:val="28"/>
          <w:szCs w:val="28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、若甲方违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约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解除本合同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【本合同第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七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条第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2款第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⑴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⑵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" w:cs="仿宋"/>
          <w:color w:val="auto"/>
          <w:sz w:val="28"/>
          <w:szCs w:val="28"/>
        </w:rPr>
        <w:t>⑷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项的约定除外】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，甲方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须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赔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付违约金（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相当于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6个月的租金）给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乙方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乙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方因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此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起诉至法院所产生的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费用（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包括但不限于律师费、案件受理费、财产保全费、担保费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等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）由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甲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方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承担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textAlignment w:val="auto"/>
        <w:outlineLvl w:val="9"/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7、若乙方违反《行为规范》的约定，乙方须按照《行为规范》承担相应的违约责任。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第九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条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 xml:space="preserve"> 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双方发生争议应通过友好协商解决。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若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不能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达成协议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任何一方均可向法院起诉，终端解决本合同纠纷。营业执照项下双方的住所、法定代表人（甲方法定代表人的电话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u w:val="single"/>
          <w:lang w:val="en-US" w:eastAsia="zh-CN"/>
        </w:rPr>
        <w:t xml:space="preserve"> 　　　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u w:val="none"/>
          <w:lang w:val="en-US" w:eastAsia="zh-CN"/>
        </w:rPr>
        <w:t>、乙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方法定代表人的电话）是双方确认的送达地址和收件人。通知或法律文书通过EMS送达对方，无论对方拒签或电话变更，均视为送达。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color w:val="auto"/>
          <w:sz w:val="28"/>
          <w:szCs w:val="28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2、乙方的营业执照与法定代表人身份证复印件由乙方保证其真实性、合法性；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双方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签章确认的三个附件、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补充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协议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与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本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合同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具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有同等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约束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sz w:val="28"/>
          <w:szCs w:val="28"/>
        </w:rPr>
      </w:pP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3、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本合同一式四份，甲方持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有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二份，乙方持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有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二份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四份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合同具有同等法律效力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。本合同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自双方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签字盖章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" w:cs="宋体"/>
          <w:color w:val="auto"/>
          <w:sz w:val="28"/>
          <w:szCs w:val="28"/>
        </w:rPr>
        <w:t>乙方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支付</w:t>
      </w:r>
      <w:r>
        <w:rPr>
          <w:rFonts w:hint="eastAsia" w:ascii="Times New Roman" w:hAnsi="Times New Roman" w:eastAsia="仿宋" w:cs="宋体"/>
          <w:sz w:val="28"/>
          <w:szCs w:val="28"/>
        </w:rPr>
        <w:t>履约保证金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和安全生产保证金之日起</w:t>
      </w:r>
      <w:r>
        <w:rPr>
          <w:rFonts w:hint="eastAsia" w:ascii="Times New Roman" w:hAnsi="Times New Roman" w:eastAsia="仿宋" w:cs="宋体"/>
          <w:sz w:val="28"/>
          <w:szCs w:val="28"/>
        </w:rPr>
        <w:t>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宋体"/>
          <w:sz w:val="28"/>
          <w:szCs w:val="28"/>
          <w:lang w:eastAsia="zh-CN"/>
        </w:rPr>
        <w:t>　　</w:t>
      </w:r>
      <w:r>
        <w:rPr>
          <w:rFonts w:hint="eastAsia" w:ascii="Times New Roman" w:hAnsi="Times New Roman" w:eastAsia="仿宋" w:cs="宋体"/>
          <w:sz w:val="28"/>
          <w:szCs w:val="28"/>
        </w:rPr>
        <w:t>附件</w:t>
      </w:r>
      <w:r>
        <w:rPr>
          <w:rFonts w:hint="eastAsia" w:ascii="Times New Roman" w:hAnsi="Times New Roman" w:eastAsia="仿宋" w:cs="宋体"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1.</w:t>
      </w:r>
      <w:r>
        <w:rPr>
          <w:rFonts w:hint="eastAsia" w:ascii="Times New Roman" w:hAnsi="Times New Roman" w:eastAsia="仿宋" w:cs="宋体"/>
          <w:sz w:val="28"/>
          <w:szCs w:val="28"/>
          <w:lang w:eastAsia="zh-CN"/>
        </w:rPr>
        <w:t>《</w:t>
      </w:r>
      <w:r>
        <w:rPr>
          <w:rFonts w:hint="eastAsia" w:ascii="Times New Roman" w:hAnsi="Times New Roman" w:eastAsia="仿宋" w:cs="宋体"/>
          <w:color w:val="auto"/>
          <w:sz w:val="28"/>
          <w:szCs w:val="28"/>
          <w:lang w:val="en-US" w:eastAsia="zh-CN"/>
        </w:rPr>
        <w:t>惠州市下埔滨江公园管理所经营单位行为规范》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sz w:val="28"/>
          <w:szCs w:val="28"/>
          <w:lang w:eastAsia="zh-CN"/>
        </w:rPr>
      </w:pP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　　　2.</w:t>
      </w:r>
      <w:r>
        <w:rPr>
          <w:rFonts w:hint="eastAsia" w:ascii="Times New Roman" w:hAnsi="Times New Roman" w:eastAsia="仿宋" w:cs="宋体"/>
          <w:sz w:val="28"/>
          <w:szCs w:val="28"/>
          <w:lang w:eastAsia="zh-CN"/>
        </w:rPr>
        <w:t>《滨江公园</w:t>
      </w:r>
      <w:r>
        <w:rPr>
          <w:rFonts w:hint="eastAsia" w:ascii="Times New Roman" w:hAnsi="Times New Roman" w:eastAsia="仿宋" w:cs="宋体"/>
          <w:sz w:val="28"/>
          <w:szCs w:val="28"/>
        </w:rPr>
        <w:t>游乐场</w:t>
      </w:r>
      <w:r>
        <w:rPr>
          <w:rFonts w:hint="eastAsia" w:ascii="Times New Roman" w:hAnsi="Times New Roman" w:eastAsia="仿宋" w:cs="宋体"/>
          <w:sz w:val="28"/>
          <w:szCs w:val="28"/>
          <w:lang w:eastAsia="zh-CN"/>
        </w:rPr>
        <w:t>示意图》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textAlignment w:val="auto"/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3.</w:t>
      </w:r>
      <w:r>
        <w:rPr>
          <w:rFonts w:hint="eastAsia" w:ascii="Times New Roman" w:hAnsi="Times New Roman" w:eastAsia="仿宋" w:cs="宋体"/>
          <w:sz w:val="28"/>
          <w:szCs w:val="28"/>
          <w:lang w:eastAsia="zh-CN"/>
        </w:rPr>
        <w:t>《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滨江公园游乐场</w:t>
      </w:r>
      <w:bookmarkStart w:id="0" w:name="_GoBack"/>
      <w:bookmarkEnd w:id="0"/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现有机器设备情况表》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甲方（公章）：                   乙方（公章）：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法定代表人：                     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签约时间：2024年</w:t>
      </w:r>
      <w:r>
        <w:rPr>
          <w:rFonts w:hint="eastAsia" w:ascii="Times New Roman" w:hAnsi="Times New Roman" w:eastAsia="仿宋" w:cs="宋体"/>
          <w:sz w:val="28"/>
          <w:szCs w:val="28"/>
          <w:u w:val="single"/>
          <w:lang w:val="en-US" w:eastAsia="zh-CN"/>
        </w:rPr>
        <w:t xml:space="preserve"> 　 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仿宋" w:cs="宋体"/>
          <w:sz w:val="28"/>
          <w:szCs w:val="28"/>
          <w:u w:val="single"/>
          <w:lang w:val="en-US" w:eastAsia="zh-CN"/>
        </w:rPr>
        <w:t xml:space="preserve"> 　 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日   签约地点：惠州市惠城区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  <w:t>惠州市下埔滨江公园管理所经营单位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lang w:val="en-US" w:eastAsia="zh-CN"/>
        </w:rPr>
        <w:t>行为规范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为了营造文明、和谐、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有序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的公园环境，提升经营单位服务水平，结合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经营单位的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实际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情况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管理所与经营单位共同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制定本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行为规范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第一条 严格遵守国家法律法规和公园各项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管理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制度，服从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管理所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第二条 恪守“文明经营、热情服务”的宗旨，守法经营。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第三条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树立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安全责任重于泰山的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理念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经营单位须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加强员工的安全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生产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教育和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服务能力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培训，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建立相关的工作台账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第四条 遵守职业道德，坚持明码标价，无乱拉乱挂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横幅和广告牌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、无占道经营，门前三包工作到位。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第五条 积极支持和配合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管理所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开展各项工作，自觉消除各种不良影响，积极为公园的建设和发展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建言献策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第六条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下列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行为之一，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经营单位愿意承担违约责任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1、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经营单位之间因为经营活动发生争执、打架等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违约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行为，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管理所有权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水停电15天；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给公园文明安全游园环境造成影响的，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管理所有权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水停电30天；多次发生前述行为，管理所有权解除《便民服务点租赁合同》。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经营单位经营范围内绿化、卫生环境差，地面有垃圾、积水或随意堆放杂物，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管理所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警告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经营单位后2小时内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没有整改，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经营单位应支付200元违约金给管理所，管理所另聘人员完成前述工作产生的费用，由经营单位承担。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经营单位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经营范围内货物摆放杂乱，乱拉乱挂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横幅和广告牌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，播放高音喇叭等影响园容园貌、扰乱正常游园秩序的，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经营单位应支付100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违约金给管理所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、在经营活动中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袒胸露背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等不文明行为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经营单位应支付10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0元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违约金给管理所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经营单位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聚众赌博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行为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，报公安部门处理。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经营单位对商品不明码标价，以次充好、强买强卖，欺诈市民的，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经营单位应支付10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0元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违约金给管理所，管理所有权上报政府职能部门处理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经营单位占道经营、堵塞通道的，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经营单位应支付10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0元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违约金给管理所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管理所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警告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后经营单位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没有及时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停止违约行为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管理所有权对经营单位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水停电、按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占道经营、堵塞通道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的面积追加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经营单位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2倍的租金。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未经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管理所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同意，经营单位擅自对外提供水电，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管理所有权对经营单位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水停电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管理所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召开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经营单位工作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会议，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经营单位负责人不参加会议，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经营单位应支付10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0元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违约金给管理所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9、若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经营单位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有经营烧烤及各类油烟食品，经营单位应支付200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违约金给管理所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公园管理所有权对经营单位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水停电。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经营单位未经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管理所书面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同意，超合同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约定的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经营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范围开展经营活动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经营单位应支付200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违约金给管理所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管理所有权对经营单位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水停电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经营单位违反食品卫生安全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的法律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管理所除有权将该违法行为提交政府职能部门处理外，经营单位还应支付500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违约金给管理所，管理所有权对经营单位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水停电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经营单位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在简易房内留宿过夜或煮食做饭，经营单位除应支付200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违约金给管理所外，管理所有权对经营单位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水停电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13、为方便进货，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经营单位车辆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进出公园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时间统一为每天12:00—14:00。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经营单位在上述规定时间外进出公园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；经营单位应支付500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违约金给管理所；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进出公园的车辆必须减速慢行，禁鸣喇叭，避让行人。如发生安全责任事故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造成人身损害和财产损失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，由经营单位承担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赔偿责任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经营单位应支付500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违约金给管理所，在事故处理结束后3日内，管理所有权解除《便民服务点租赁合同》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第七条 在各类国家、省、市、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检查和重大活动期间，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经营单位若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不配合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政府部门、管理所的要求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或违反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相关约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定，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管理所有权对经营单位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水停电，若对政府部门造成负面影响，管理所有权解除《便民服务点租赁合同》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第八条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经营单位被市民投诉或被上级部门勒令停业，经营单位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须承担的违约责任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：被市民投诉、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查证属实的，经营单位除应在2日内向管理所书面回复投诉问题和整改结果外，还须支付200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违约金给管理所；经营单位被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上级部门勒令停业的，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管理所有权立即解除《便民服务点租赁合同》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条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经营单位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违反前述行为规范之一、因停水停电或解除《便民服务点租赁合同》造成的所有损失，均由经营单位承担。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第十条 本行为规范于2023年1月1日订立，自双方订立之日起生效。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甲方：惠州市下埔滨江公园管理所   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代表：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　　　　　　　　　　　　　　　　　　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746" w:bottom="1440" w:left="1746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　附件2</w:t>
      </w:r>
    </w:p>
    <w:p>
      <w:pPr>
        <w:jc w:val="center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sectPr>
          <w:pgSz w:w="16838" w:h="11906" w:orient="landscape"/>
          <w:pgMar w:top="556" w:right="363" w:bottom="442" w:left="193" w:header="851" w:footer="992" w:gutter="0"/>
          <w:cols w:space="720" w:num="1"/>
          <w:rtlGutter w:val="0"/>
          <w:docGrid w:type="lines" w:linePitch="319" w:charSpace="0"/>
        </w:sect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8003540" cy="5654675"/>
            <wp:effectExtent l="0" t="0" r="16510" b="3175"/>
            <wp:docPr id="1" name="图片 1" descr="滨江公园游乐场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滨江公园游乐场示意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3540" cy="565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5"/>
        <w:tblpPr w:leftFromText="180" w:rightFromText="180" w:vertAnchor="text" w:horzAnchor="page" w:tblpX="586" w:tblpY="639"/>
        <w:tblOverlap w:val="never"/>
        <w:tblW w:w="157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507"/>
        <w:gridCol w:w="1860"/>
        <w:gridCol w:w="4275"/>
        <w:gridCol w:w="1275"/>
        <w:gridCol w:w="1050"/>
        <w:gridCol w:w="855"/>
        <w:gridCol w:w="1275"/>
        <w:gridCol w:w="1560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检查类型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使用有效期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自旋滑车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ZXC-24A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中山市金马科技娱乐设备股份有限公司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国检设备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须年检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海盗船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HDC-40A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中山市金马科技娱乐设备股份有限公司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国检设备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须年检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飓风飞椅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FY-48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中山市金马科技娱乐设备股份有限公司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国检设备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须年检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旋转迪士高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DSG-24A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中山市金马科技娱乐设备股份有限公司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省检设备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须年检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自控飞机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ZK-24A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中山市金马科技娱乐设备股份有限公司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省检设备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5年10月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须年检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碰碰车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PPC-101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中山市金马科技娱乐设备股份有限公司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省检设备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5年10月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须年检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太空漫步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TKMB-1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中山市金益游乐设备有限公司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省检设备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须年检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7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豪华转马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DW-34C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中山市金马科技娱乐设备股份有限公司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免检设备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定期维保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激战鲨鱼岛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SR21-1A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沈阳市创奇游乐设备有限公司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免检设备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定期维保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儿童爬山车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ETPSC-002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中山市金益游乐设备有限公司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免检设备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定期维保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欢乐飞船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HLFC06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郑州市万乐游艺设备有限公司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免检设备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定期维保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海豹戏水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FTHB-III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保定市飞天游乐设备有限公司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免检设备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定期维保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小蜜蜂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02-D7V116H18S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中山市金狮游艺机械设备有限公司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免检设备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定期维保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千禧火车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TR14-01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中山市智乐游艺设备有限公司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免检设备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定期维保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喷球车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LSG180127036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中山乐斯高游设备有限公司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免检设备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定期维保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袋鼠跳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DS1-26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广州凯昌电子有限公司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免检设备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定期维保</w:t>
            </w:r>
          </w:p>
        </w:tc>
      </w:tr>
    </w:tbl>
    <w:p>
      <w:pPr>
        <w:jc w:val="left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　　　附件3　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滨江公园游乐场现有机器设备情况表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556" w:right="363" w:bottom="442" w:left="19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NjQwYzViNDUxODAyMjA5YmUxNDdmM2FjNjk5ZDMifQ=="/>
    <w:docVar w:name="KSO_WPS_MARK_KEY" w:val="4f053010-d67e-4626-92b5-3556d76f1a51"/>
  </w:docVars>
  <w:rsids>
    <w:rsidRoot w:val="67FC4281"/>
    <w:rsid w:val="003A6AB4"/>
    <w:rsid w:val="024E1267"/>
    <w:rsid w:val="0D7C0C8E"/>
    <w:rsid w:val="105459B3"/>
    <w:rsid w:val="158A006C"/>
    <w:rsid w:val="16895CF0"/>
    <w:rsid w:val="181E43BD"/>
    <w:rsid w:val="1B313D37"/>
    <w:rsid w:val="204668AB"/>
    <w:rsid w:val="22751B5D"/>
    <w:rsid w:val="25915AD3"/>
    <w:rsid w:val="29B02D7B"/>
    <w:rsid w:val="2DA31A8D"/>
    <w:rsid w:val="2E8B02F1"/>
    <w:rsid w:val="31EF5A40"/>
    <w:rsid w:val="334F3A61"/>
    <w:rsid w:val="3D1F08FD"/>
    <w:rsid w:val="45096031"/>
    <w:rsid w:val="45E276FD"/>
    <w:rsid w:val="47E43DAD"/>
    <w:rsid w:val="4EB9271C"/>
    <w:rsid w:val="4FF86939"/>
    <w:rsid w:val="53C75195"/>
    <w:rsid w:val="578D1705"/>
    <w:rsid w:val="58831003"/>
    <w:rsid w:val="5A3F5751"/>
    <w:rsid w:val="5B6E5BC0"/>
    <w:rsid w:val="5CDD1A15"/>
    <w:rsid w:val="61166F46"/>
    <w:rsid w:val="67521109"/>
    <w:rsid w:val="67FC4281"/>
    <w:rsid w:val="687E2557"/>
    <w:rsid w:val="7252766F"/>
    <w:rsid w:val="73130DBE"/>
    <w:rsid w:val="744C48FD"/>
    <w:rsid w:val="745A0207"/>
    <w:rsid w:val="77471FC0"/>
    <w:rsid w:val="7D58352F"/>
    <w:rsid w:val="7EEA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2023-01-31T07:53:00Z</dcterms:created>
  <dc:creator>LYB</dc:creator>
  <cp:lastModifiedBy>曾雪梅</cp:lastModifiedBy>
  <cp:lastPrinted>2023-04-18T09:30:00Z</cp:lastPrinted>
  <dcterms:modified xsi:type="dcterms:W3CDTF">2024-03-25T01:54:07Z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948F5052AF884325B78F6F28945E16AC</vt:lpwstr>
  </property>
</Properties>
</file>